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611CEFA2" w:rsidR="007D2269" w:rsidRPr="009D3599" w:rsidRDefault="00000000" w:rsidP="00AB5BB3">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45402968"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9D3599">
        <w:rPr>
          <w:b/>
          <w:bCs/>
          <w:sz w:val="28"/>
          <w:szCs w:val="28"/>
        </w:rPr>
        <w:tab/>
      </w:r>
      <w:r w:rsidR="001A6665">
        <w:rPr>
          <w:b/>
          <w:bCs/>
          <w:sz w:val="28"/>
          <w:szCs w:val="28"/>
        </w:rPr>
        <w:t xml:space="preserve">     </w:t>
      </w:r>
      <w:r w:rsidR="009532E1" w:rsidRPr="009D3599">
        <w:rPr>
          <w:b/>
          <w:bCs/>
          <w:sz w:val="28"/>
          <w:szCs w:val="28"/>
        </w:rPr>
        <w:t xml:space="preserve">Case No: </w:t>
      </w:r>
      <w:r w:rsidR="00BF6D93" w:rsidRPr="003470F1">
        <w:rPr>
          <w:b/>
          <w:bCs/>
          <w:color w:val="FF0000"/>
          <w:sz w:val="28"/>
          <w:szCs w:val="28"/>
        </w:rPr>
        <w:t>[</w:t>
      </w:r>
      <w:r w:rsidR="00E8403F" w:rsidRPr="003470F1">
        <w:rPr>
          <w:b/>
          <w:bCs/>
          <w:i/>
          <w:iCs/>
          <w:color w:val="FF0000"/>
          <w:sz w:val="28"/>
          <w:szCs w:val="28"/>
        </w:rPr>
        <w:t>Case number</w:t>
      </w:r>
      <w:r w:rsidR="00BF6D93" w:rsidRPr="003470F1">
        <w:rPr>
          <w:b/>
          <w:bCs/>
          <w:color w:val="FF0000"/>
          <w:sz w:val="28"/>
          <w:szCs w:val="28"/>
        </w:rPr>
        <w:t>]</w:t>
      </w:r>
    </w:p>
    <w:p w14:paraId="6D97C7BF" w14:textId="7ABE2601" w:rsidR="009532E1" w:rsidRPr="009D3599" w:rsidRDefault="006B350B" w:rsidP="00AB5BB3">
      <w:pPr>
        <w:rPr>
          <w:b/>
          <w:bCs/>
          <w:sz w:val="28"/>
          <w:szCs w:val="28"/>
        </w:rPr>
      </w:pPr>
      <w:r>
        <w:rPr>
          <w:b/>
          <w:bCs/>
          <w:sz w:val="28"/>
          <w:szCs w:val="28"/>
        </w:rPr>
        <w:t>s</w:t>
      </w:r>
      <w:r w:rsidR="009532E1" w:rsidRPr="009D3599">
        <w:rPr>
          <w:b/>
          <w:bCs/>
          <w:sz w:val="28"/>
          <w:szCs w:val="28"/>
        </w:rPr>
        <w:t xml:space="preserve">itting at </w:t>
      </w:r>
      <w:r w:rsidR="00BF6D93" w:rsidRPr="004C3407">
        <w:rPr>
          <w:b/>
          <w:bCs/>
          <w:color w:val="FF0000"/>
          <w:sz w:val="28"/>
          <w:szCs w:val="28"/>
        </w:rPr>
        <w:t>[</w:t>
      </w:r>
      <w:r w:rsidR="00E8403F">
        <w:rPr>
          <w:b/>
          <w:bCs/>
          <w:i/>
          <w:iCs/>
          <w:color w:val="FF0000"/>
          <w:sz w:val="28"/>
          <w:szCs w:val="28"/>
        </w:rPr>
        <w:t>Court name</w:t>
      </w:r>
      <w:r w:rsidR="00BF6D93" w:rsidRPr="004C3407">
        <w:rPr>
          <w:b/>
          <w:bCs/>
          <w:color w:val="FF0000"/>
          <w:sz w:val="28"/>
          <w:szCs w:val="28"/>
        </w:rPr>
        <w:t>]</w:t>
      </w:r>
    </w:p>
    <w:p w14:paraId="39843785" w14:textId="418551F8" w:rsidR="009532E1" w:rsidRDefault="009532E1" w:rsidP="00AB5BB3"/>
    <w:p w14:paraId="32A67E92" w14:textId="38527AF6" w:rsidR="00054154" w:rsidRDefault="00054154" w:rsidP="00AB5BB3"/>
    <w:p w14:paraId="7CB6026F" w14:textId="6D8866A4" w:rsidR="00C57402" w:rsidRDefault="00C57402" w:rsidP="00AB5BB3"/>
    <w:p w14:paraId="24D68768" w14:textId="77777777" w:rsidR="00C57402" w:rsidRDefault="00C57402" w:rsidP="00AB5BB3"/>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14"/>
        <w:gridCol w:w="1542"/>
        <w:gridCol w:w="2253"/>
      </w:tblGrid>
      <w:tr w:rsidR="00BA135E" w14:paraId="5CFB4ADE" w14:textId="77777777" w:rsidTr="00AC4D03">
        <w:tc>
          <w:tcPr>
            <w:tcW w:w="1701" w:type="dxa"/>
          </w:tcPr>
          <w:p w14:paraId="5650EF8B" w14:textId="77777777" w:rsidR="00BA135E" w:rsidRDefault="00BA135E" w:rsidP="00AB5BB3"/>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AB5BB3">
            <w:pPr>
              <w:rPr>
                <w:b/>
                <w:bCs/>
              </w:rPr>
            </w:pPr>
            <w:r>
              <w:rPr>
                <w:b/>
                <w:bCs/>
              </w:rPr>
              <w:t>Order</w:t>
            </w:r>
          </w:p>
          <w:p w14:paraId="6DA266BF" w14:textId="77777777" w:rsidR="00E73C06" w:rsidRDefault="00BA135E" w:rsidP="00AB5BB3">
            <w:pPr>
              <w:rPr>
                <w:b/>
                <w:bCs/>
              </w:rPr>
            </w:pPr>
            <w:r>
              <w:rPr>
                <w:b/>
                <w:bCs/>
              </w:rPr>
              <w:t>Children Act 1989</w:t>
            </w:r>
          </w:p>
          <w:p w14:paraId="2E4660C6" w14:textId="35F0F874" w:rsidR="00FA3DB9" w:rsidRPr="00BA135E" w:rsidRDefault="00FA3DB9" w:rsidP="00AB5BB3">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AB5BB3"/>
        </w:tc>
        <w:tc>
          <w:tcPr>
            <w:tcW w:w="3514" w:type="dxa"/>
            <w:tcBorders>
              <w:top w:val="single" w:sz="4" w:space="0" w:color="auto"/>
            </w:tcBorders>
          </w:tcPr>
          <w:p w14:paraId="519A6DDA" w14:textId="77777777" w:rsidR="00BA135E" w:rsidRDefault="00BA135E" w:rsidP="00AB5BB3"/>
        </w:tc>
        <w:tc>
          <w:tcPr>
            <w:tcW w:w="1542" w:type="dxa"/>
            <w:tcBorders>
              <w:top w:val="single" w:sz="4" w:space="0" w:color="auto"/>
            </w:tcBorders>
          </w:tcPr>
          <w:p w14:paraId="2C753497" w14:textId="77777777" w:rsidR="00BA135E" w:rsidRDefault="00BA135E" w:rsidP="00AB5BB3"/>
        </w:tc>
        <w:tc>
          <w:tcPr>
            <w:tcW w:w="2253" w:type="dxa"/>
            <w:tcBorders>
              <w:top w:val="single" w:sz="4" w:space="0" w:color="auto"/>
            </w:tcBorders>
          </w:tcPr>
          <w:p w14:paraId="276F4A04" w14:textId="77777777" w:rsidR="00BA135E" w:rsidRDefault="00BA135E" w:rsidP="00AB5BB3"/>
        </w:tc>
      </w:tr>
      <w:tr w:rsidR="00BA135E" w14:paraId="3A5404F9" w14:textId="77777777" w:rsidTr="00AC4D03">
        <w:tc>
          <w:tcPr>
            <w:tcW w:w="1701" w:type="dxa"/>
          </w:tcPr>
          <w:p w14:paraId="2F7416AB" w14:textId="77777777" w:rsidR="00BA135E" w:rsidRDefault="00BA135E" w:rsidP="00AB5BB3"/>
        </w:tc>
        <w:tc>
          <w:tcPr>
            <w:tcW w:w="3514" w:type="dxa"/>
          </w:tcPr>
          <w:p w14:paraId="139666CE" w14:textId="2F7C0552" w:rsidR="00BA135E" w:rsidRDefault="00BA135E" w:rsidP="00AB5BB3">
            <w:r>
              <w:t>The full name(s) of the children</w:t>
            </w:r>
          </w:p>
        </w:tc>
        <w:tc>
          <w:tcPr>
            <w:tcW w:w="1542" w:type="dxa"/>
          </w:tcPr>
          <w:p w14:paraId="0BF2A7A8" w14:textId="52713E80" w:rsidR="00BA135E" w:rsidRDefault="00BA135E" w:rsidP="00AB5BB3">
            <w:r>
              <w:t>Boy or Girl</w:t>
            </w:r>
          </w:p>
        </w:tc>
        <w:tc>
          <w:tcPr>
            <w:tcW w:w="2253" w:type="dxa"/>
          </w:tcPr>
          <w:p w14:paraId="7716A20F" w14:textId="38FEF439" w:rsidR="00BA135E" w:rsidRDefault="00BA135E" w:rsidP="00AB5BB3">
            <w:r>
              <w:t>Date(s) of Birth</w:t>
            </w:r>
          </w:p>
        </w:tc>
      </w:tr>
      <w:tr w:rsidR="00BA135E" w14:paraId="6EF10DCD" w14:textId="77777777" w:rsidTr="00AC4D03">
        <w:tc>
          <w:tcPr>
            <w:tcW w:w="1701" w:type="dxa"/>
          </w:tcPr>
          <w:p w14:paraId="444F911C" w14:textId="77777777" w:rsidR="00BA135E" w:rsidRDefault="00BA135E" w:rsidP="00AB5BB3"/>
        </w:tc>
        <w:tc>
          <w:tcPr>
            <w:tcW w:w="3514" w:type="dxa"/>
          </w:tcPr>
          <w:p w14:paraId="3B7EB20B" w14:textId="77777777" w:rsidR="00BA135E" w:rsidRDefault="00BA135E" w:rsidP="00AB5BB3"/>
        </w:tc>
        <w:tc>
          <w:tcPr>
            <w:tcW w:w="1542" w:type="dxa"/>
          </w:tcPr>
          <w:p w14:paraId="068125CB" w14:textId="77777777" w:rsidR="00BA135E" w:rsidRDefault="00BA135E" w:rsidP="00AB5BB3"/>
        </w:tc>
        <w:tc>
          <w:tcPr>
            <w:tcW w:w="2253" w:type="dxa"/>
          </w:tcPr>
          <w:p w14:paraId="23938F66" w14:textId="77777777" w:rsidR="00BA135E" w:rsidRDefault="00BA135E" w:rsidP="00AB5BB3"/>
        </w:tc>
      </w:tr>
      <w:tr w:rsidR="00BA135E" w14:paraId="3F97CF13" w14:textId="77777777" w:rsidTr="00AC4D03">
        <w:tc>
          <w:tcPr>
            <w:tcW w:w="1701" w:type="dxa"/>
          </w:tcPr>
          <w:p w14:paraId="5E0B0D33" w14:textId="77777777" w:rsidR="00BA135E" w:rsidRDefault="00BA135E" w:rsidP="00AB5BB3"/>
        </w:tc>
        <w:tc>
          <w:tcPr>
            <w:tcW w:w="3514" w:type="dxa"/>
          </w:tcPr>
          <w:p w14:paraId="69064899" w14:textId="66302ABD"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311C0514" w14:textId="3EBD9616"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1AFB8E89" w14:textId="6D7F40AC"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F6D93" w14:paraId="5B6A183A" w14:textId="77777777" w:rsidTr="00AC4D03">
        <w:tc>
          <w:tcPr>
            <w:tcW w:w="1701" w:type="dxa"/>
          </w:tcPr>
          <w:p w14:paraId="690C29F5" w14:textId="77777777" w:rsidR="00BF6D93" w:rsidRDefault="00BF6D93" w:rsidP="00AB5BB3"/>
        </w:tc>
        <w:tc>
          <w:tcPr>
            <w:tcW w:w="3514" w:type="dxa"/>
          </w:tcPr>
          <w:p w14:paraId="12B27B8A" w14:textId="5C9E87C1"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643A274F" w14:textId="268DDF25"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2602FB29" w14:textId="7885506E"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A135E" w14:paraId="20BBCC85" w14:textId="77777777" w:rsidTr="00AC4D03">
        <w:tc>
          <w:tcPr>
            <w:tcW w:w="1701" w:type="dxa"/>
          </w:tcPr>
          <w:p w14:paraId="30AB51D5" w14:textId="77777777" w:rsidR="00BA135E" w:rsidRDefault="00BA135E" w:rsidP="00AB5BB3"/>
        </w:tc>
        <w:tc>
          <w:tcPr>
            <w:tcW w:w="3514" w:type="dxa"/>
          </w:tcPr>
          <w:p w14:paraId="376F22A2" w14:textId="77777777" w:rsidR="00BA135E" w:rsidRDefault="00BA135E" w:rsidP="00AB5BB3"/>
        </w:tc>
        <w:tc>
          <w:tcPr>
            <w:tcW w:w="1542" w:type="dxa"/>
          </w:tcPr>
          <w:p w14:paraId="3D907AEA" w14:textId="77777777" w:rsidR="00BA135E" w:rsidRDefault="00BA135E" w:rsidP="00AB5BB3"/>
        </w:tc>
        <w:tc>
          <w:tcPr>
            <w:tcW w:w="2253" w:type="dxa"/>
          </w:tcPr>
          <w:p w14:paraId="6AC84995" w14:textId="77777777" w:rsidR="00BA135E" w:rsidRDefault="00BA135E" w:rsidP="00AB5BB3"/>
        </w:tc>
      </w:tr>
    </w:tbl>
    <w:p w14:paraId="5687CBD4" w14:textId="32A3663F" w:rsidR="00BA135E" w:rsidRDefault="00BA135E" w:rsidP="00AB5BB3"/>
    <w:p w14:paraId="0989EED0" w14:textId="7DC89417" w:rsidR="0054444A" w:rsidRDefault="00EF09AC" w:rsidP="00AB5BB3">
      <w:r>
        <w:t>Secure accommodation order made</w:t>
      </w:r>
      <w:r w:rsidR="003901D6">
        <w:t xml:space="preserve"> by</w:t>
      </w:r>
      <w:r w:rsidR="009532E1">
        <w:t xml:space="preserve"> </w:t>
      </w:r>
      <w:r w:rsidR="000D0423" w:rsidRPr="00413B2C">
        <w:rPr>
          <w:bCs/>
          <w:color w:val="FF0000"/>
        </w:rPr>
        <w:t>[</w:t>
      </w:r>
      <w:r w:rsidR="000D0423" w:rsidRPr="00413B2C">
        <w:rPr>
          <w:bCs/>
          <w:i/>
          <w:iCs/>
          <w:color w:val="FF0000"/>
        </w:rPr>
        <w:t>name of judge</w:t>
      </w:r>
      <w:r w:rsidR="000D0423" w:rsidRPr="00413B2C">
        <w:rPr>
          <w:bCs/>
          <w:color w:val="FF0000"/>
        </w:rPr>
        <w:t>]</w:t>
      </w:r>
      <w:r w:rsidR="000D0423" w:rsidRPr="00413B2C">
        <w:t xml:space="preserve"> in private on </w:t>
      </w:r>
      <w:r w:rsidR="000D0423" w:rsidRPr="00413B2C">
        <w:rPr>
          <w:color w:val="FF0000"/>
        </w:rPr>
        <w:t>[</w:t>
      </w:r>
      <w:r w:rsidR="000D0423" w:rsidRPr="00413B2C">
        <w:rPr>
          <w:i/>
          <w:iCs/>
          <w:color w:val="FF0000"/>
        </w:rPr>
        <w:t>date</w:t>
      </w:r>
      <w:r w:rsidR="000D0423" w:rsidRPr="00413B2C">
        <w:rPr>
          <w:color w:val="FF0000"/>
        </w:rPr>
        <w:t xml:space="preserve">] </w:t>
      </w:r>
      <w:r w:rsidR="000D0423" w:rsidRPr="00413B2C">
        <w:t xml:space="preserve">at a </w:t>
      </w:r>
      <w:r w:rsidR="000D0423" w:rsidRPr="00413B2C">
        <w:rPr>
          <w:color w:val="FF0000"/>
        </w:rPr>
        <w:t>[</w:t>
      </w:r>
      <w:r w:rsidR="000D0423" w:rsidRPr="00413B2C">
        <w:rPr>
          <w:i/>
          <w:iCs/>
          <w:color w:val="FF0000"/>
        </w:rPr>
        <w:t>type of hearing</w:t>
      </w:r>
      <w:r w:rsidR="000D0423" w:rsidRPr="00413B2C">
        <w:rPr>
          <w:color w:val="FF0000"/>
        </w:rPr>
        <w:t>]</w:t>
      </w:r>
      <w:r w:rsidR="000D0423" w:rsidRPr="00413B2C">
        <w:t>.</w:t>
      </w:r>
    </w:p>
    <w:p w14:paraId="12E63E0E" w14:textId="77777777" w:rsidR="000D0423" w:rsidRPr="006D11BF" w:rsidRDefault="000D0423" w:rsidP="00AB5BB3"/>
    <w:p w14:paraId="18BD6B07" w14:textId="77777777" w:rsidR="004C3407" w:rsidRDefault="00E27CD0" w:rsidP="00AB5BB3">
      <w:pPr>
        <w:ind w:left="2160" w:hanging="2160"/>
      </w:pPr>
      <w:r>
        <w:rPr>
          <w:b/>
          <w:bCs/>
        </w:rPr>
        <w:t>The parties</w:t>
      </w:r>
      <w:r w:rsidR="00A51EA0" w:rsidRPr="004A2764">
        <w:rPr>
          <w:b/>
          <w:bCs/>
        </w:rPr>
        <w:t>:</w:t>
      </w:r>
      <w:r w:rsidR="00A51EA0" w:rsidRPr="006D11BF">
        <w:rPr>
          <w:b/>
          <w:bCs/>
        </w:rPr>
        <w:tab/>
      </w:r>
      <w:r w:rsidR="004C3407">
        <w:t xml:space="preserve">The applicant is </w:t>
      </w:r>
      <w:r w:rsidR="004C3407" w:rsidRPr="00C35A3C">
        <w:rPr>
          <w:color w:val="FF0000"/>
        </w:rPr>
        <w:t>[</w:t>
      </w:r>
      <w:r w:rsidR="004C3407" w:rsidRPr="000D0423">
        <w:rPr>
          <w:i/>
          <w:iCs/>
          <w:color w:val="FF0000"/>
        </w:rPr>
        <w:t>local authority</w:t>
      </w:r>
      <w:r w:rsidR="004C3407" w:rsidRPr="00C35A3C">
        <w:rPr>
          <w:color w:val="FF0000"/>
        </w:rPr>
        <w:t>]</w:t>
      </w:r>
      <w:r w:rsidR="004C3407">
        <w:t xml:space="preserve"> represented by </w:t>
      </w:r>
      <w:r w:rsidR="004C3407" w:rsidRPr="00C35A3C">
        <w:rPr>
          <w:color w:val="FF0000"/>
        </w:rPr>
        <w:t>[</w:t>
      </w:r>
      <w:r w:rsidR="004C3407" w:rsidRPr="000D0423">
        <w:rPr>
          <w:i/>
          <w:iCs/>
          <w:color w:val="FF0000"/>
        </w:rPr>
        <w:t>name</w:t>
      </w:r>
      <w:r w:rsidR="004C3407" w:rsidRPr="00C35A3C">
        <w:rPr>
          <w:color w:val="FF0000"/>
        </w:rPr>
        <w:t>] [of counsel]</w:t>
      </w:r>
    </w:p>
    <w:p w14:paraId="35BFB952" w14:textId="77777777" w:rsidR="004C3407" w:rsidRDefault="004C3407" w:rsidP="00AB5BB3"/>
    <w:p w14:paraId="6D5D1499" w14:textId="77777777" w:rsidR="000D0423" w:rsidRPr="00413B2C" w:rsidRDefault="000D0423" w:rsidP="00AB5BB3">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6EC2D11" w14:textId="77777777" w:rsidR="000D0423" w:rsidRPr="00413B2C" w:rsidRDefault="000D0423" w:rsidP="00AB5BB3"/>
    <w:p w14:paraId="4D89A5D7" w14:textId="77777777" w:rsidR="000D0423" w:rsidRPr="00413B2C" w:rsidRDefault="000D0423" w:rsidP="00AB5BB3">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4ABF994" w14:textId="77777777" w:rsidR="000D0423" w:rsidRPr="00413B2C" w:rsidRDefault="000D0423" w:rsidP="00AB5BB3"/>
    <w:p w14:paraId="66107FD6" w14:textId="212AC480" w:rsidR="004C3407" w:rsidRDefault="000D0423" w:rsidP="00AB5BB3">
      <w:pPr>
        <w:ind w:left="2160"/>
        <w:rPr>
          <w:color w:val="FF0000"/>
        </w:rPr>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A59FC4" w14:textId="77777777" w:rsidR="000D0423" w:rsidRDefault="000D0423" w:rsidP="00AB5BB3"/>
    <w:p w14:paraId="22052C1B" w14:textId="77777777" w:rsidR="004C3407" w:rsidRDefault="004C3407" w:rsidP="00AB5BB3">
      <w:pPr>
        <w:ind w:left="2160"/>
      </w:pPr>
      <w:r>
        <w:t xml:space="preserve">The intervenor is </w:t>
      </w:r>
      <w:r w:rsidRPr="00C35A3C">
        <w:rPr>
          <w:color w:val="FF0000"/>
        </w:rPr>
        <w:t>[</w:t>
      </w:r>
      <w:r w:rsidRPr="000D0423">
        <w:rPr>
          <w:i/>
          <w:iCs/>
          <w:color w:val="FF0000"/>
        </w:rPr>
        <w:t>name</w:t>
      </w:r>
      <w:r w:rsidRPr="00C35A3C">
        <w:rPr>
          <w:color w:val="FF0000"/>
        </w:rPr>
        <w:t>] [in person] [represented by [</w:t>
      </w:r>
      <w:r w:rsidRPr="000D0423">
        <w:rPr>
          <w:i/>
          <w:iCs/>
          <w:color w:val="FF0000"/>
        </w:rPr>
        <w:t>name</w:t>
      </w:r>
      <w:r w:rsidRPr="00C35A3C">
        <w:rPr>
          <w:color w:val="FF0000"/>
        </w:rPr>
        <w:t>] [of counsel]]</w:t>
      </w:r>
    </w:p>
    <w:p w14:paraId="613E97F0" w14:textId="3B79C8D9" w:rsidR="00B85E74" w:rsidRDefault="00B85E74" w:rsidP="00AB5BB3"/>
    <w:p w14:paraId="2F07CAF6" w14:textId="0279BA7F" w:rsidR="00E24000" w:rsidRDefault="00E24000" w:rsidP="00AB5BB3">
      <w:pPr>
        <w:rPr>
          <w:b/>
          <w:bCs/>
          <w:u w:val="single"/>
        </w:rPr>
      </w:pPr>
      <w:r w:rsidRPr="00E24000">
        <w:rPr>
          <w:b/>
          <w:bCs/>
          <w:u w:val="single"/>
        </w:rPr>
        <w:t>Important Notices</w:t>
      </w:r>
    </w:p>
    <w:p w14:paraId="12F452EF" w14:textId="421E6887" w:rsidR="00BF6D93" w:rsidRDefault="00BF6D93" w:rsidP="00AB5BB3"/>
    <w:p w14:paraId="00C131DA" w14:textId="77777777" w:rsidR="00C90ADF" w:rsidRPr="005A32AE" w:rsidRDefault="00C90ADF" w:rsidP="00AB5BB3">
      <w:pPr>
        <w:pStyle w:val="Heading2"/>
        <w:rPr>
          <w:b w:val="0"/>
          <w:u w:val="single"/>
        </w:rPr>
      </w:pPr>
      <w:bookmarkStart w:id="0" w:name="_Toc118144446"/>
      <w:r w:rsidRPr="005A32AE">
        <w:rPr>
          <w:u w:val="single"/>
        </w:rPr>
        <w:t>Confidentiality warning</w:t>
      </w:r>
      <w:bookmarkEnd w:id="0"/>
      <w:r>
        <w:rPr>
          <w:u w:val="single"/>
        </w:rPr>
        <w:t>s</w:t>
      </w:r>
    </w:p>
    <w:p w14:paraId="0EA23963" w14:textId="77777777" w:rsidR="00C90ADF" w:rsidRPr="008E56F1" w:rsidRDefault="00C90ADF" w:rsidP="00AB5BB3">
      <w:pPr>
        <w:rPr>
          <w:b/>
          <w:bCs/>
        </w:rPr>
      </w:pPr>
      <w:r w:rsidRPr="008E56F1">
        <w:rPr>
          <w:b/>
          <w:bCs/>
        </w:rPr>
        <w:t>Until the conclusion of the proceedings no person shall publish to the public at large or any section of the public without the court’s permission any material which is intended or likely to identify the child</w:t>
      </w:r>
      <w:r w:rsidRPr="008E56F1">
        <w:rPr>
          <w:b/>
          <w:bCs/>
          <w:color w:val="FF0000"/>
        </w:rPr>
        <w:t xml:space="preserve">[ren] </w:t>
      </w:r>
      <w:r w:rsidRPr="008E56F1">
        <w:rPr>
          <w:b/>
          <w:bCs/>
        </w:rPr>
        <w:t>as being involved in these proceedings or an address or school as being that of the child</w:t>
      </w:r>
      <w:r w:rsidRPr="008E56F1">
        <w:rPr>
          <w:b/>
          <w:bCs/>
          <w:color w:val="FF0000"/>
        </w:rPr>
        <w:t>[ren]</w:t>
      </w:r>
      <w:r w:rsidRPr="008E56F1">
        <w:rPr>
          <w:b/>
          <w:bCs/>
        </w:rPr>
        <w:t>. Any person who does so is guilty of an offence.</w:t>
      </w:r>
    </w:p>
    <w:p w14:paraId="00803F7F" w14:textId="77777777" w:rsidR="00C90ADF" w:rsidRPr="008E56F1" w:rsidRDefault="00C90ADF" w:rsidP="00AB5BB3">
      <w:pPr>
        <w:rPr>
          <w:b/>
          <w:bCs/>
        </w:rPr>
      </w:pPr>
    </w:p>
    <w:p w14:paraId="5310906A" w14:textId="77777777" w:rsidR="00C90ADF" w:rsidRPr="008E56F1" w:rsidRDefault="00C90ADF" w:rsidP="00AB5BB3">
      <w:pPr>
        <w:rPr>
          <w:b/>
          <w:bCs/>
        </w:rPr>
      </w:pPr>
      <w:r w:rsidRPr="008E56F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D810737" w14:textId="77777777" w:rsidR="00C90ADF" w:rsidRPr="008E56F1" w:rsidRDefault="00C90ADF" w:rsidP="00AB5BB3">
      <w:pPr>
        <w:rPr>
          <w:b/>
          <w:bCs/>
        </w:rPr>
      </w:pPr>
    </w:p>
    <w:p w14:paraId="19FEA85E" w14:textId="77777777" w:rsidR="00C90ADF" w:rsidRPr="008E56F1" w:rsidRDefault="00C90ADF" w:rsidP="00AB5BB3">
      <w:pPr>
        <w:rPr>
          <w:b/>
          <w:bCs/>
        </w:rPr>
      </w:pPr>
      <w:r w:rsidRPr="008E56F1">
        <w:rPr>
          <w:b/>
          <w:bCs/>
        </w:rPr>
        <w:lastRenderedPageBreak/>
        <w:t>Information related to the proceedings must not be communicated to any person other than as allowed by Rules 12.73 or 12.75 or Practice Direction 12G of the Family Procedure Rules 2010.</w:t>
      </w:r>
    </w:p>
    <w:p w14:paraId="03E0A695" w14:textId="5C634EEF" w:rsidR="007A06C2" w:rsidRDefault="007A06C2" w:rsidP="00AB5BB3"/>
    <w:p w14:paraId="6ED1B109" w14:textId="77777777" w:rsidR="00B42B2D" w:rsidRPr="00B575F6" w:rsidRDefault="007A06C2" w:rsidP="00AB5BB3">
      <w:pPr>
        <w:rPr>
          <w:u w:val="single"/>
        </w:rPr>
      </w:pPr>
      <w:r w:rsidRPr="00B575F6">
        <w:rPr>
          <w:b/>
          <w:bCs/>
          <w:u w:val="single"/>
        </w:rPr>
        <w:t>REC</w:t>
      </w:r>
      <w:r w:rsidR="00B42B2D" w:rsidRPr="00B575F6">
        <w:rPr>
          <w:b/>
          <w:bCs/>
          <w:u w:val="single"/>
        </w:rPr>
        <w:t>ITALS</w:t>
      </w:r>
    </w:p>
    <w:p w14:paraId="707211FF" w14:textId="3E14F69E" w:rsidR="00B42B2D" w:rsidRDefault="00B42B2D" w:rsidP="00AB5BB3"/>
    <w:p w14:paraId="244494AC" w14:textId="77777777" w:rsidR="00682D51" w:rsidRDefault="00682D51" w:rsidP="00AB5BB3">
      <w:pPr>
        <w:numPr>
          <w:ilvl w:val="0"/>
          <w:numId w:val="5"/>
        </w:numPr>
        <w:tabs>
          <w:tab w:val="num" w:pos="567"/>
        </w:tabs>
        <w:ind w:left="567" w:hanging="567"/>
      </w:pPr>
      <w:r>
        <w:t xml:space="preserve">This order is </w:t>
      </w:r>
      <w:r w:rsidRPr="001F362B">
        <w:rPr>
          <w:rFonts w:eastAsia="Times New Roman"/>
          <w:lang w:eastAsia="en-GB"/>
        </w:rPr>
        <w:t>made</w:t>
      </w:r>
      <w:r>
        <w:t xml:space="preserve"> because the court has decided that:</w:t>
      </w:r>
    </w:p>
    <w:p w14:paraId="4E292C12" w14:textId="77777777" w:rsidR="00682D51" w:rsidRDefault="00682D51" w:rsidP="00AB5BB3">
      <w:pPr>
        <w:numPr>
          <w:ilvl w:val="1"/>
          <w:numId w:val="5"/>
        </w:numPr>
        <w:tabs>
          <w:tab w:val="num" w:pos="1134"/>
        </w:tabs>
        <w:ind w:left="1134" w:hanging="567"/>
      </w:pPr>
      <w:r>
        <w:t xml:space="preserve">the child has a history of </w:t>
      </w:r>
      <w:r w:rsidRPr="001F362B">
        <w:rPr>
          <w:rFonts w:eastAsia="Times New Roman"/>
          <w:lang w:eastAsia="en-GB"/>
        </w:rPr>
        <w:t>absconding</w:t>
      </w:r>
      <w:r>
        <w:t xml:space="preserve"> and if they </w:t>
      </w:r>
      <w:proofErr w:type="gramStart"/>
      <w:r>
        <w:t>abscond</w:t>
      </w:r>
      <w:proofErr w:type="gramEnd"/>
      <w:r>
        <w:t xml:space="preserve"> they are likely to suffer significant harm;</w:t>
      </w:r>
    </w:p>
    <w:p w14:paraId="4545DD38" w14:textId="1831EBA1" w:rsidR="00682D51" w:rsidRDefault="00682D51" w:rsidP="00AB5BB3">
      <w:pPr>
        <w:numPr>
          <w:ilvl w:val="1"/>
          <w:numId w:val="5"/>
        </w:numPr>
        <w:tabs>
          <w:tab w:val="num" w:pos="1134"/>
        </w:tabs>
        <w:ind w:left="1134" w:hanging="567"/>
      </w:pPr>
      <w:r>
        <w:t xml:space="preserve">if the child is kept in anything other than secure </w:t>
      </w:r>
      <w:proofErr w:type="gramStart"/>
      <w:r>
        <w:t>accommodation</w:t>
      </w:r>
      <w:proofErr w:type="gramEnd"/>
      <w:r>
        <w:t xml:space="preserve"> they are likely to injure themselves or other persons</w:t>
      </w:r>
    </w:p>
    <w:p w14:paraId="26E3A4A0" w14:textId="0C4E2DAA" w:rsidR="00C663C8" w:rsidRPr="00C663C8" w:rsidRDefault="00C663C8" w:rsidP="00AB5BB3"/>
    <w:p w14:paraId="489B2DB9" w14:textId="08F7E3E7" w:rsidR="00726A1F" w:rsidRPr="00CD42CB" w:rsidRDefault="00A94D7C" w:rsidP="00AB5BB3">
      <w:pPr>
        <w:rPr>
          <w:b/>
          <w:bCs/>
          <w:u w:val="single"/>
        </w:rPr>
      </w:pPr>
      <w:r>
        <w:rPr>
          <w:b/>
          <w:bCs/>
          <w:u w:val="single"/>
        </w:rPr>
        <w:t xml:space="preserve">IT IS ORDERED </w:t>
      </w:r>
      <w:r w:rsidR="00E238F2" w:rsidRPr="000C4CFD">
        <w:rPr>
          <w:b/>
          <w:bCs/>
          <w:color w:val="FF0000"/>
          <w:u w:val="single"/>
        </w:rPr>
        <w:t>[</w:t>
      </w:r>
      <w:r w:rsidRPr="000C4CFD">
        <w:rPr>
          <w:b/>
          <w:bCs/>
          <w:color w:val="FF0000"/>
          <w:u w:val="single"/>
        </w:rPr>
        <w:t>BY CONSENT</w:t>
      </w:r>
      <w:r w:rsidR="00E238F2" w:rsidRPr="000C4CFD">
        <w:rPr>
          <w:b/>
          <w:bCs/>
          <w:color w:val="FF0000"/>
          <w:u w:val="single"/>
        </w:rPr>
        <w:t>]</w:t>
      </w:r>
      <w:r>
        <w:rPr>
          <w:b/>
          <w:bCs/>
          <w:u w:val="single"/>
        </w:rPr>
        <w:t xml:space="preserve"> THAT:</w:t>
      </w:r>
    </w:p>
    <w:p w14:paraId="7DA39B63" w14:textId="088D15D0" w:rsidR="00726A1F" w:rsidRDefault="00726A1F" w:rsidP="00AB5BB3"/>
    <w:p w14:paraId="278A6EF5" w14:textId="6F8DCA93" w:rsidR="00726A1F" w:rsidRDefault="001E12B3" w:rsidP="00AB5BB3">
      <w:pPr>
        <w:pStyle w:val="Heading2"/>
      </w:pPr>
      <w:r>
        <w:t>Adjourned application</w:t>
      </w:r>
    </w:p>
    <w:p w14:paraId="61460D9E" w14:textId="4A04C2B1" w:rsidR="00310610" w:rsidRDefault="00F04A9E" w:rsidP="00AB5BB3">
      <w:pPr>
        <w:numPr>
          <w:ilvl w:val="0"/>
          <w:numId w:val="5"/>
        </w:numPr>
        <w:tabs>
          <w:tab w:val="num" w:pos="567"/>
        </w:tabs>
        <w:ind w:left="567" w:hanging="567"/>
      </w:pPr>
      <w:r>
        <w:t>The</w:t>
      </w:r>
      <w:r w:rsidR="00635739">
        <w:t xml:space="preserve"> </w:t>
      </w:r>
      <w:r w:rsidR="00635739" w:rsidRPr="001F362B">
        <w:rPr>
          <w:rFonts w:eastAsia="Times New Roman"/>
          <w:lang w:eastAsia="en-GB"/>
        </w:rPr>
        <w:t>application</w:t>
      </w:r>
      <w:r w:rsidR="00635739">
        <w:t xml:space="preserve"> for a secure accommodation order is adjourned to</w:t>
      </w:r>
      <w:r>
        <w:t xml:space="preserve"> a </w:t>
      </w:r>
      <w:r w:rsidR="00D77D76">
        <w:t>hearing</w:t>
      </w:r>
      <w:r>
        <w:t xml:space="preserve"> at the Family Court sitting at </w:t>
      </w:r>
      <w:r w:rsidRPr="000C4CFD">
        <w:rPr>
          <w:color w:val="FF0000"/>
        </w:rPr>
        <w:t>[</w:t>
      </w:r>
      <w:r w:rsidRPr="009D0E7D">
        <w:rPr>
          <w:i/>
          <w:iCs/>
          <w:color w:val="FF0000"/>
        </w:rPr>
        <w:t>court</w:t>
      </w:r>
      <w:r w:rsidR="009D0E7D" w:rsidRPr="009D0E7D">
        <w:rPr>
          <w:i/>
          <w:iCs/>
          <w:color w:val="FF0000"/>
        </w:rPr>
        <w:t xml:space="preserve"> name</w:t>
      </w:r>
      <w:r w:rsidRPr="000C4CFD">
        <w:rPr>
          <w:color w:val="FF0000"/>
        </w:rPr>
        <w:t>]</w:t>
      </w:r>
      <w:r>
        <w:t xml:space="preserve"> at </w:t>
      </w:r>
      <w:r w:rsidRPr="000C4CFD">
        <w:rPr>
          <w:color w:val="FF0000"/>
        </w:rPr>
        <w:t>[</w:t>
      </w:r>
      <w:r w:rsidRPr="009D0E7D">
        <w:rPr>
          <w:i/>
          <w:iCs/>
          <w:color w:val="FF0000"/>
        </w:rPr>
        <w:t>time</w:t>
      </w:r>
      <w:r w:rsidRPr="000C4CFD">
        <w:rPr>
          <w:color w:val="FF0000"/>
        </w:rPr>
        <w:t>]</w:t>
      </w:r>
      <w:r>
        <w:t xml:space="preserve"> on </w:t>
      </w:r>
      <w:r w:rsidRPr="000C4CFD">
        <w:rPr>
          <w:color w:val="FF0000"/>
        </w:rPr>
        <w:t>[</w:t>
      </w:r>
      <w:r w:rsidRPr="009D0E7D">
        <w:rPr>
          <w:i/>
          <w:iCs/>
          <w:color w:val="FF0000"/>
        </w:rPr>
        <w:t>date</w:t>
      </w:r>
      <w:r w:rsidRPr="000C4CFD">
        <w:rPr>
          <w:color w:val="FF0000"/>
        </w:rPr>
        <w:t>]</w:t>
      </w:r>
      <w:r>
        <w:t xml:space="preserve"> before </w:t>
      </w:r>
      <w:r w:rsidRPr="000C4CFD">
        <w:rPr>
          <w:color w:val="FF0000"/>
        </w:rPr>
        <w:t>[</w:t>
      </w:r>
      <w:r w:rsidR="009D0E7D" w:rsidRPr="009D0E7D">
        <w:rPr>
          <w:i/>
          <w:iCs/>
          <w:color w:val="FF0000"/>
        </w:rPr>
        <w:t xml:space="preserve">name of </w:t>
      </w:r>
      <w:r w:rsidRPr="009D0E7D">
        <w:rPr>
          <w:i/>
          <w:iCs/>
          <w:color w:val="FF0000"/>
        </w:rPr>
        <w:t>judge</w:t>
      </w:r>
      <w:r w:rsidRPr="000C4CFD">
        <w:rPr>
          <w:color w:val="FF0000"/>
        </w:rPr>
        <w:t>]</w:t>
      </w:r>
      <w:r>
        <w:t xml:space="preserve"> allowing </w:t>
      </w:r>
      <w:r w:rsidRPr="000C4CFD">
        <w:rPr>
          <w:color w:val="FF0000"/>
        </w:rPr>
        <w:t>[</w:t>
      </w:r>
      <w:r w:rsidRPr="009D0E7D">
        <w:rPr>
          <w:i/>
          <w:iCs/>
          <w:color w:val="FF0000"/>
        </w:rPr>
        <w:t>hours/days</w:t>
      </w:r>
      <w:r w:rsidRPr="000C4CFD">
        <w:rPr>
          <w:color w:val="FF0000"/>
        </w:rPr>
        <w:t>]</w:t>
      </w:r>
      <w:r>
        <w:t>. The parties and advocates shall attend 1 hour prior to the listed time for pre-hearing discussions.</w:t>
      </w:r>
    </w:p>
    <w:p w14:paraId="268C7459" w14:textId="77777777" w:rsidR="00E115F6" w:rsidRDefault="00E115F6" w:rsidP="00AB5BB3"/>
    <w:p w14:paraId="262F5A82" w14:textId="7D50420D" w:rsidR="00E6796E" w:rsidRPr="009B3DA8" w:rsidRDefault="00690C13" w:rsidP="00AB5BB3">
      <w:pPr>
        <w:numPr>
          <w:ilvl w:val="0"/>
          <w:numId w:val="5"/>
        </w:numPr>
        <w:tabs>
          <w:tab w:val="num" w:pos="567"/>
        </w:tabs>
        <w:ind w:left="567" w:hanging="567"/>
      </w:pPr>
      <w:r>
        <w:t xml:space="preserve">Until the adjourned hearing the court authorises </w:t>
      </w:r>
      <w:r w:rsidRPr="000C4CFD">
        <w:rPr>
          <w:color w:val="FF0000"/>
        </w:rPr>
        <w:t>[</w:t>
      </w:r>
      <w:r w:rsidRPr="009D0E7D">
        <w:rPr>
          <w:i/>
          <w:iCs/>
          <w:color w:val="FF0000"/>
        </w:rPr>
        <w:t>local authority</w:t>
      </w:r>
      <w:r w:rsidRPr="000C4CFD">
        <w:rPr>
          <w:color w:val="FF0000"/>
        </w:rPr>
        <w:t>]</w:t>
      </w:r>
      <w:r>
        <w:t xml:space="preserve"> to keep the child </w:t>
      </w:r>
      <w:r w:rsidRPr="000C4CFD">
        <w:rPr>
          <w:color w:val="FF0000"/>
        </w:rPr>
        <w:t>[</w:t>
      </w:r>
      <w:r w:rsidRPr="009D0E7D">
        <w:rPr>
          <w:i/>
          <w:iCs/>
          <w:color w:val="FF0000"/>
        </w:rPr>
        <w:t>name and d</w:t>
      </w:r>
      <w:r w:rsidR="009D0E7D" w:rsidRPr="009D0E7D">
        <w:rPr>
          <w:i/>
          <w:iCs/>
          <w:color w:val="FF0000"/>
        </w:rPr>
        <w:t>at</w:t>
      </w:r>
      <w:r w:rsidRPr="009D0E7D">
        <w:rPr>
          <w:i/>
          <w:iCs/>
          <w:color w:val="FF0000"/>
        </w:rPr>
        <w:t>e of birth</w:t>
      </w:r>
      <w:r w:rsidRPr="000C4CFD">
        <w:rPr>
          <w:color w:val="FF0000"/>
        </w:rPr>
        <w:t>]</w:t>
      </w:r>
      <w:r>
        <w:t xml:space="preserve"> in secure accommodation at </w:t>
      </w:r>
      <w:r w:rsidRPr="000C4CFD">
        <w:rPr>
          <w:color w:val="FF0000"/>
        </w:rPr>
        <w:t>[</w:t>
      </w:r>
      <w:r w:rsidRPr="009D0E7D">
        <w:rPr>
          <w:i/>
          <w:iCs/>
          <w:color w:val="FF0000"/>
        </w:rPr>
        <w:t xml:space="preserve">name </w:t>
      </w:r>
      <w:r w:rsidR="00B5356C" w:rsidRPr="009D0E7D">
        <w:rPr>
          <w:i/>
          <w:iCs/>
          <w:color w:val="FF0000"/>
        </w:rPr>
        <w:t xml:space="preserve">of institution </w:t>
      </w:r>
      <w:r w:rsidRPr="009D0E7D">
        <w:rPr>
          <w:i/>
          <w:iCs/>
          <w:color w:val="FF0000"/>
        </w:rPr>
        <w:t>and address</w:t>
      </w:r>
      <w:r w:rsidRPr="000C4CFD">
        <w:rPr>
          <w:color w:val="FF0000"/>
        </w:rPr>
        <w:t>]</w:t>
      </w:r>
      <w:r>
        <w:t xml:space="preserve"> or in other </w:t>
      </w:r>
      <w:r w:rsidR="00E115F6">
        <w:t>approved secure accommodation.</w:t>
      </w:r>
    </w:p>
    <w:p w14:paraId="2F781C0D" w14:textId="5B6B2A88" w:rsidR="00126EA4" w:rsidRDefault="00126EA4" w:rsidP="00AB5BB3"/>
    <w:p w14:paraId="43EA2757" w14:textId="7DA326CE" w:rsidR="00126EA4" w:rsidRDefault="001E12B3" w:rsidP="00AB5BB3">
      <w:pPr>
        <w:pStyle w:val="Heading2"/>
      </w:pPr>
      <w:r>
        <w:t>Secure accommodation order</w:t>
      </w:r>
    </w:p>
    <w:p w14:paraId="42D9A527" w14:textId="3D5C8E90" w:rsidR="007A06C2" w:rsidRPr="00E238F2" w:rsidRDefault="00E115F6" w:rsidP="00AB5BB3">
      <w:pPr>
        <w:numPr>
          <w:ilvl w:val="0"/>
          <w:numId w:val="5"/>
        </w:numPr>
        <w:tabs>
          <w:tab w:val="num" w:pos="567"/>
        </w:tabs>
        <w:ind w:left="567" w:hanging="567"/>
      </w:pPr>
      <w:r>
        <w:t xml:space="preserve">The </w:t>
      </w:r>
      <w:r w:rsidRPr="001F362B">
        <w:rPr>
          <w:rFonts w:eastAsia="Times New Roman"/>
          <w:lang w:eastAsia="en-GB"/>
        </w:rPr>
        <w:t>court</w:t>
      </w:r>
      <w:r>
        <w:t xml:space="preserve"> authorises </w:t>
      </w:r>
      <w:r w:rsidRPr="000C4CFD">
        <w:rPr>
          <w:color w:val="FF0000"/>
        </w:rPr>
        <w:t>[</w:t>
      </w:r>
      <w:r w:rsidRPr="009D0E7D">
        <w:rPr>
          <w:i/>
          <w:iCs/>
          <w:color w:val="FF0000"/>
        </w:rPr>
        <w:t>local authority</w:t>
      </w:r>
      <w:r w:rsidRPr="000C4CFD">
        <w:rPr>
          <w:color w:val="FF0000"/>
        </w:rPr>
        <w:t>]</w:t>
      </w:r>
      <w:r>
        <w:t xml:space="preserve"> to keep the child </w:t>
      </w:r>
      <w:r w:rsidR="00B5356C" w:rsidRPr="000C4CFD">
        <w:rPr>
          <w:color w:val="FF0000"/>
        </w:rPr>
        <w:t>[</w:t>
      </w:r>
      <w:r w:rsidR="00B5356C" w:rsidRPr="009D0E7D">
        <w:rPr>
          <w:i/>
          <w:iCs/>
          <w:color w:val="FF0000"/>
        </w:rPr>
        <w:t>name and date of birth</w:t>
      </w:r>
      <w:r w:rsidR="00B5356C" w:rsidRPr="000C4CFD">
        <w:rPr>
          <w:color w:val="FF0000"/>
        </w:rPr>
        <w:t>]</w:t>
      </w:r>
      <w:r w:rsidR="00B5356C">
        <w:t xml:space="preserve"> in secure accommodation at </w:t>
      </w:r>
      <w:r w:rsidR="00B5356C" w:rsidRPr="000C4CFD">
        <w:rPr>
          <w:color w:val="FF0000"/>
        </w:rPr>
        <w:t>[</w:t>
      </w:r>
      <w:r w:rsidR="00B5356C" w:rsidRPr="009D0E7D">
        <w:rPr>
          <w:i/>
          <w:iCs/>
          <w:color w:val="FF0000"/>
        </w:rPr>
        <w:t>name of institution and address</w:t>
      </w:r>
      <w:r w:rsidR="00B5356C" w:rsidRPr="000C4CFD">
        <w:rPr>
          <w:color w:val="FF0000"/>
        </w:rPr>
        <w:t>]</w:t>
      </w:r>
      <w:r w:rsidR="00B5356C">
        <w:t xml:space="preserve"> or in other approved sec</w:t>
      </w:r>
      <w:r w:rsidR="007A06C2">
        <w:t xml:space="preserve">ure accommodation until no later than </w:t>
      </w:r>
      <w:r w:rsidR="007A06C2" w:rsidRPr="000C4CFD">
        <w:rPr>
          <w:color w:val="FF0000"/>
        </w:rPr>
        <w:t>[</w:t>
      </w:r>
      <w:r w:rsidR="007A06C2" w:rsidRPr="009D0E7D">
        <w:rPr>
          <w:i/>
          <w:iCs/>
          <w:color w:val="FF0000"/>
        </w:rPr>
        <w:t>date</w:t>
      </w:r>
      <w:r w:rsidR="007A06C2" w:rsidRPr="000C4CFD">
        <w:rPr>
          <w:color w:val="FF0000"/>
        </w:rPr>
        <w:t>]</w:t>
      </w:r>
      <w:r w:rsidR="007A06C2">
        <w:t>.</w:t>
      </w:r>
    </w:p>
    <w:p w14:paraId="323C2771" w14:textId="77777777" w:rsidR="00126EA4" w:rsidRPr="00126EA4" w:rsidRDefault="00126EA4" w:rsidP="00AB5BB3"/>
    <w:p w14:paraId="3138AFAB" w14:textId="66B80E3B" w:rsidR="00E238F2" w:rsidRDefault="00E238F2" w:rsidP="00AB5BB3"/>
    <w:p w14:paraId="3E06E8D7" w14:textId="3E23B9FD" w:rsidR="00E238F2" w:rsidRDefault="00E238F2" w:rsidP="00AB5BB3">
      <w:pPr>
        <w:rPr>
          <w:b/>
          <w:bCs/>
          <w:u w:val="single"/>
        </w:rPr>
      </w:pPr>
      <w:r>
        <w:rPr>
          <w:b/>
          <w:bCs/>
        </w:rPr>
        <w:t>SCHEDULE</w:t>
      </w:r>
    </w:p>
    <w:p w14:paraId="7BA2EAE2" w14:textId="3419E759" w:rsidR="00E238F2" w:rsidRDefault="00E238F2" w:rsidP="00AB5BB3"/>
    <w:p w14:paraId="4DBE010C" w14:textId="2E4946A6" w:rsidR="00E238F2" w:rsidRDefault="0079489C" w:rsidP="00AB5BB3">
      <w:pPr>
        <w:pStyle w:val="Heading2"/>
      </w:pPr>
      <w:r>
        <w:t xml:space="preserve">Further </w:t>
      </w:r>
      <w:r w:rsidR="00E238F2">
        <w:t>Recitals</w:t>
      </w:r>
    </w:p>
    <w:p w14:paraId="2A0691B5" w14:textId="77777777" w:rsidR="004B4748" w:rsidRPr="004B4748" w:rsidRDefault="004B4748" w:rsidP="00AB5BB3"/>
    <w:p w14:paraId="2815B50F" w14:textId="06D3AA8E" w:rsidR="000C4CFD" w:rsidRDefault="000C4CFD" w:rsidP="00AB5BB3">
      <w:pPr>
        <w:numPr>
          <w:ilvl w:val="0"/>
          <w:numId w:val="22"/>
        </w:numPr>
        <w:tabs>
          <w:tab w:val="num" w:pos="567"/>
        </w:tabs>
        <w:ind w:left="567" w:hanging="567"/>
        <w:rPr>
          <w:b/>
          <w:color w:val="000000"/>
          <w:u w:val="single"/>
        </w:rPr>
      </w:pPr>
      <w:r>
        <w:rPr>
          <w:color w:val="000000"/>
        </w:rPr>
        <w:t xml:space="preserve">The </w:t>
      </w:r>
      <w:r w:rsidR="009D0E7D" w:rsidRPr="009C103C">
        <w:rPr>
          <w:rFonts w:eastAsia="Calibri"/>
        </w:rPr>
        <w:t>c</w:t>
      </w:r>
      <w:r w:rsidRPr="009C103C">
        <w:rPr>
          <w:rFonts w:eastAsia="Calibri"/>
        </w:rPr>
        <w:t>ourt</w:t>
      </w:r>
      <w:r>
        <w:rPr>
          <w:color w:val="000000"/>
        </w:rPr>
        <w:t xml:space="preserve"> </w:t>
      </w:r>
      <w:r w:rsidRPr="001F362B">
        <w:t>records</w:t>
      </w:r>
      <w:r>
        <w:rPr>
          <w:color w:val="000000"/>
        </w:rPr>
        <w:t xml:space="preserve"> the following information for the purposes of the Family Advocacy Scheme (FAS):</w:t>
      </w:r>
    </w:p>
    <w:p w14:paraId="63CFC6BB"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advocates</w:t>
      </w:r>
      <w:r>
        <w:rPr>
          <w:color w:val="000000"/>
        </w:rPr>
        <w:t xml:space="preserve"> met for pre-hearing discussions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507DC4F"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hearing</w:t>
      </w:r>
      <w:r>
        <w:rPr>
          <w:color w:val="000000"/>
        </w:rPr>
        <w:t xml:space="preserve"> started at </w:t>
      </w:r>
      <w:r w:rsidRPr="00CA6758">
        <w:rPr>
          <w:color w:val="FF0000"/>
        </w:rPr>
        <w:t>[</w:t>
      </w:r>
      <w:r w:rsidRPr="009D0E7D">
        <w:rPr>
          <w:i/>
          <w:iCs/>
          <w:color w:val="FF0000"/>
        </w:rPr>
        <w:t>time</w:t>
      </w:r>
      <w:r w:rsidRPr="00CA6758">
        <w:rPr>
          <w:color w:val="FF0000"/>
        </w:rPr>
        <w:t>]</w:t>
      </w:r>
      <w:r>
        <w:rPr>
          <w:color w:val="000000"/>
        </w:rPr>
        <w:t xml:space="preserve"> and ended at </w:t>
      </w:r>
      <w:r w:rsidRPr="00CA6758">
        <w:rPr>
          <w:color w:val="FF0000"/>
        </w:rPr>
        <w:t>[</w:t>
      </w:r>
      <w:r w:rsidRPr="009D0E7D">
        <w:rPr>
          <w:i/>
          <w:iCs/>
          <w:color w:val="FF0000"/>
        </w:rPr>
        <w:t>time</w:t>
      </w:r>
      <w:r w:rsidRPr="00CA6758">
        <w:rPr>
          <w:color w:val="FF0000"/>
        </w:rPr>
        <w:t>]</w:t>
      </w:r>
      <w:r>
        <w:rPr>
          <w:color w:val="000000"/>
        </w:rPr>
        <w:t xml:space="preserve">; </w:t>
      </w:r>
    </w:p>
    <w:p w14:paraId="099B9D84"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court</w:t>
      </w:r>
      <w:r>
        <w:rPr>
          <w:color w:val="000000"/>
        </w:rPr>
        <w:t xml:space="preserve"> allowed 1 hour thereafter for preparation and agreement of the order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1F68A20"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t>[</w:t>
      </w:r>
      <w:r w:rsidRPr="009D0E7D">
        <w:rPr>
          <w:i/>
          <w:iCs/>
          <w:color w:val="FF0000"/>
        </w:rPr>
        <w:t>name of advocate</w:t>
      </w:r>
      <w:r w:rsidRPr="00CA6758">
        <w:rPr>
          <w:color w:val="FF0000"/>
        </w:rPr>
        <w:t>]</w:t>
      </w:r>
      <w:r>
        <w:rPr>
          <w:color w:val="000000"/>
        </w:rPr>
        <w:t xml:space="preserve"> is </w:t>
      </w:r>
      <w:r w:rsidRPr="00F30978">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5A1DB7CE"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t>[</w:t>
      </w:r>
      <w:r w:rsidRPr="009D0E7D">
        <w:rPr>
          <w:i/>
          <w:iCs/>
          <w:color w:val="FF0000"/>
        </w:rPr>
        <w:t>name of advocate</w:t>
      </w:r>
      <w:r w:rsidRPr="00CA6758">
        <w:rPr>
          <w:color w:val="FF0000"/>
        </w:rPr>
        <w:t xml:space="preserve">] </w:t>
      </w:r>
      <w:r>
        <w:rPr>
          <w:color w:val="000000"/>
        </w:rPr>
        <w:t xml:space="preserve">is </w:t>
      </w:r>
      <w:r w:rsidRPr="00F30978">
        <w:rPr>
          <w:rFonts w:eastAsia="Calibri"/>
        </w:rPr>
        <w:t>entitled</w:t>
      </w:r>
      <w:r>
        <w:rPr>
          <w:color w:val="000000"/>
        </w:rPr>
        <w:t xml:space="preserve"> to a bolt on because they are representing a person who has difficulty in giving instructions or understanding advice;</w:t>
      </w:r>
    </w:p>
    <w:p w14:paraId="2EAE2DE7" w14:textId="4BF5D88E" w:rsidR="00E238F2" w:rsidRPr="001F362B" w:rsidRDefault="000C4CFD" w:rsidP="00AB5BB3">
      <w:pPr>
        <w:numPr>
          <w:ilvl w:val="1"/>
          <w:numId w:val="20"/>
        </w:numPr>
        <w:tabs>
          <w:tab w:val="num" w:pos="1134"/>
        </w:tabs>
        <w:ind w:left="1134" w:hanging="567"/>
        <w:rPr>
          <w:color w:val="000000"/>
        </w:rPr>
      </w:pPr>
      <w:r w:rsidRPr="001F362B">
        <w:rPr>
          <w:color w:val="000000"/>
        </w:rPr>
        <w:lastRenderedPageBreak/>
        <w:t xml:space="preserve">all </w:t>
      </w:r>
      <w:r w:rsidRPr="00F30978">
        <w:rPr>
          <w:rFonts w:eastAsia="Calibri"/>
        </w:rPr>
        <w:t>advocates</w:t>
      </w:r>
      <w:r w:rsidRPr="001F362B">
        <w:rPr>
          <w:color w:val="000000"/>
        </w:rPr>
        <w:t xml:space="preserve"> are </w:t>
      </w:r>
      <w:r w:rsidRPr="001F362B">
        <w:rPr>
          <w:rFonts w:eastAsia="Times New Roman"/>
          <w:lang w:eastAsia="en-GB"/>
        </w:rPr>
        <w:t>entitled</w:t>
      </w:r>
      <w:r w:rsidRPr="001F362B">
        <w:rPr>
          <w:color w:val="000000"/>
        </w:rPr>
        <w:t xml:space="preserve"> to a bolt on because an independent expert witness was cross-examined and substantially challenged by a party at the hearing; and</w:t>
      </w:r>
      <w:r w:rsidR="001F362B" w:rsidRPr="001F362B">
        <w:rPr>
          <w:color w:val="000000"/>
        </w:rPr>
        <w:t xml:space="preserve"> </w:t>
      </w:r>
      <w:r w:rsidRPr="001F362B">
        <w:rPr>
          <w:color w:val="000000"/>
        </w:rPr>
        <w:t xml:space="preserve">the advocates’ bundle page count is </w:t>
      </w:r>
      <w:r w:rsidRPr="001F362B">
        <w:rPr>
          <w:color w:val="FF0000"/>
        </w:rPr>
        <w:t>[</w:t>
      </w:r>
      <w:r w:rsidR="009D0E7D" w:rsidRPr="001F362B">
        <w:rPr>
          <w:i/>
          <w:iCs/>
          <w:color w:val="FF0000"/>
        </w:rPr>
        <w:t>number</w:t>
      </w:r>
      <w:r w:rsidRPr="001F362B">
        <w:rPr>
          <w:color w:val="FF0000"/>
        </w:rPr>
        <w:t>]</w:t>
      </w:r>
      <w:r w:rsidRPr="001F362B">
        <w:rPr>
          <w:color w:val="000000"/>
        </w:rPr>
        <w:t>.</w:t>
      </w:r>
    </w:p>
    <w:p w14:paraId="7705B1E2" w14:textId="77777777" w:rsidR="000C4CFD" w:rsidRDefault="000C4CFD" w:rsidP="00AB5BB3"/>
    <w:p w14:paraId="58A692E0" w14:textId="103C9E95" w:rsidR="009D0E7D" w:rsidRPr="005926BC" w:rsidRDefault="009D0E7D" w:rsidP="00AB5BB3">
      <w:pPr>
        <w:numPr>
          <w:ilvl w:val="0"/>
          <w:numId w:val="22"/>
        </w:numPr>
        <w:tabs>
          <w:tab w:val="num" w:pos="567"/>
        </w:tabs>
        <w:ind w:left="567" w:hanging="567"/>
        <w:rPr>
          <w:bCs/>
          <w:color w:val="FF0000"/>
        </w:rPr>
      </w:pPr>
      <w:r w:rsidRPr="005926BC">
        <w:rPr>
          <w:color w:val="FF0000"/>
        </w:rPr>
        <w:t>[</w:t>
      </w:r>
      <w:r w:rsidRPr="003F434E">
        <w:rPr>
          <w:i/>
          <w:iCs/>
          <w:color w:val="FF0000"/>
        </w:rPr>
        <w:t>Insert</w:t>
      </w:r>
      <w:r w:rsidRPr="005926BC">
        <w:rPr>
          <w:color w:val="FF0000"/>
        </w:rPr>
        <w:t xml:space="preserve"> </w:t>
      </w:r>
      <w:r w:rsidRPr="003F434E">
        <w:rPr>
          <w:rFonts w:ascii="Times New Roman Bold" w:hAnsi="Times New Roman Bold"/>
          <w:b/>
          <w:smallCaps/>
          <w:color w:val="00B050"/>
        </w:rPr>
        <w:t xml:space="preserve">(only strictly necessary recitals such as </w:t>
      </w:r>
      <w:r w:rsidRPr="003F434E">
        <w:rPr>
          <w:rFonts w:ascii="Times New Roman Bold" w:hAnsi="Times New Roman Bold"/>
          <w:b/>
          <w:bCs/>
          <w:smallCaps/>
          <w:color w:val="00B050"/>
        </w:rPr>
        <w:t>the agreed basis of an order, a concession, an issue resolved, an agreement, mechanical information, such as how an expert will be paid, by whom and what issues the expert should look at)</w:t>
      </w:r>
      <w:r w:rsidRPr="005926BC">
        <w:rPr>
          <w:color w:val="FF0000"/>
        </w:rPr>
        <w:t>]</w:t>
      </w:r>
    </w:p>
    <w:p w14:paraId="31359435" w14:textId="6F839263" w:rsidR="00126EA4" w:rsidRDefault="00126EA4" w:rsidP="00AB5BB3"/>
    <w:p w14:paraId="1935AAAA" w14:textId="12881E69" w:rsidR="00126EA4" w:rsidRPr="0035199A" w:rsidRDefault="00477AE7" w:rsidP="00AB5BB3">
      <w:r>
        <w:t xml:space="preserve">Dated </w:t>
      </w:r>
      <w:r w:rsidRPr="000C4CFD">
        <w:rPr>
          <w:color w:val="FF0000"/>
        </w:rPr>
        <w:t>[</w:t>
      </w:r>
      <w:r w:rsidR="009D0E7D" w:rsidRPr="009D0E7D">
        <w:rPr>
          <w:i/>
          <w:iCs/>
          <w:color w:val="FF0000"/>
        </w:rPr>
        <w:t>date</w:t>
      </w:r>
      <w:r w:rsidRPr="000C4CFD">
        <w:rPr>
          <w:color w:val="FF0000"/>
        </w:rPr>
        <w:t>]</w:t>
      </w:r>
    </w:p>
    <w:sectPr w:rsidR="00126EA4" w:rsidRPr="0035199A" w:rsidSect="009D0E7D">
      <w:headerReference w:type="default" r:id="rId9"/>
      <w:footerReference w:type="default" r:id="rId10"/>
      <w:headerReference w:type="first" r:id="rId11"/>
      <w:footerReference w:type="first" r:id="rId12"/>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7F6A" w14:textId="77777777" w:rsidR="002735DC" w:rsidRDefault="002735DC" w:rsidP="00A51EA0">
      <w:r>
        <w:separator/>
      </w:r>
    </w:p>
  </w:endnote>
  <w:endnote w:type="continuationSeparator" w:id="0">
    <w:p w14:paraId="7D38D8FC" w14:textId="77777777" w:rsidR="002735DC" w:rsidRDefault="002735DC"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6D24" w14:textId="77777777" w:rsidR="009D0E7D" w:rsidRDefault="009D0E7D" w:rsidP="009D0E7D">
    <w:pPr>
      <w:tabs>
        <w:tab w:val="center" w:pos="4513"/>
        <w:tab w:val="right" w:pos="9026"/>
      </w:tabs>
      <w:rPr>
        <w:iCs/>
        <w:sz w:val="18"/>
        <w:szCs w:val="18"/>
      </w:rPr>
    </w:pPr>
  </w:p>
  <w:p w14:paraId="112526A7"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826399209"/>
      <w:docPartObj>
        <w:docPartGallery w:val="Page Numbers (Bottom of Page)"/>
        <w:docPartUnique/>
      </w:docPartObj>
    </w:sdtPr>
    <w:sdtEndPr>
      <w:rPr>
        <w:noProof/>
        <w:sz w:val="18"/>
        <w:szCs w:val="18"/>
      </w:rPr>
    </w:sdtEndPr>
    <w:sdtContent>
      <w:p w14:paraId="59489721" w14:textId="77777777" w:rsidR="000D0423" w:rsidRPr="000D0423" w:rsidRDefault="000D0423" w:rsidP="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Pr>
            <w:sz w:val="18"/>
            <w:szCs w:val="18"/>
          </w:rPr>
          <w:t>1</w:t>
        </w:r>
        <w:r w:rsidRPr="000D0423">
          <w:rPr>
            <w:noProof/>
            <w:sz w:val="18"/>
            <w:szCs w:val="18"/>
          </w:rPr>
          <w:fldChar w:fldCharType="end"/>
        </w:r>
      </w:p>
    </w:sdtContent>
  </w:sdt>
  <w:p w14:paraId="3E3D1AE8" w14:textId="65841EDC" w:rsidR="009D0E7D" w:rsidRPr="009D0E7D" w:rsidRDefault="009D0E7D" w:rsidP="009D0E7D">
    <w:pPr>
      <w:tabs>
        <w:tab w:val="center" w:pos="4513"/>
        <w:tab w:val="right" w:pos="9026"/>
      </w:tabs>
      <w:rPr>
        <w:iCs/>
        <w:color w:val="000000"/>
      </w:rPr>
    </w:pPr>
    <w:r w:rsidRPr="009D0E7D">
      <w:rPr>
        <w:iCs/>
        <w:sz w:val="18"/>
        <w:szCs w:val="18"/>
      </w:rPr>
      <w:t xml:space="preserve"> </w:t>
    </w:r>
  </w:p>
  <w:p w14:paraId="493E1657" w14:textId="77777777" w:rsidR="009D0E7D" w:rsidRPr="009D0E7D" w:rsidRDefault="009D0E7D" w:rsidP="009D0E7D">
    <w:pPr>
      <w:pStyle w:val="Header"/>
    </w:pPr>
  </w:p>
  <w:p w14:paraId="0EA29FD3" w14:textId="77777777" w:rsidR="009D0E7D" w:rsidRDefault="009D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6F51"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144552437"/>
      <w:docPartObj>
        <w:docPartGallery w:val="Page Numbers (Bottom of Page)"/>
        <w:docPartUnique/>
      </w:docPartObj>
    </w:sdtPr>
    <w:sdtEndPr>
      <w:rPr>
        <w:noProof/>
        <w:sz w:val="18"/>
        <w:szCs w:val="18"/>
      </w:rPr>
    </w:sdtEndPr>
    <w:sdtContent>
      <w:p w14:paraId="5595B5AC" w14:textId="2B711B73" w:rsidR="000D0423" w:rsidRPr="000D0423" w:rsidRDefault="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sidRPr="000D0423">
          <w:rPr>
            <w:noProof/>
            <w:sz w:val="18"/>
            <w:szCs w:val="18"/>
          </w:rPr>
          <w:t>2</w:t>
        </w:r>
        <w:r w:rsidRPr="000D0423">
          <w:rPr>
            <w:noProof/>
            <w:sz w:val="18"/>
            <w:szCs w:val="18"/>
          </w:rPr>
          <w:fldChar w:fldCharType="end"/>
        </w:r>
      </w:p>
    </w:sdtContent>
  </w:sdt>
  <w:p w14:paraId="3B436058" w14:textId="77777777" w:rsidR="009D0E7D" w:rsidRDefault="009D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A2DF" w14:textId="77777777" w:rsidR="002735DC" w:rsidRDefault="002735DC" w:rsidP="00A51EA0">
      <w:r>
        <w:separator/>
      </w:r>
    </w:p>
  </w:footnote>
  <w:footnote w:type="continuationSeparator" w:id="0">
    <w:p w14:paraId="207E4C50" w14:textId="77777777" w:rsidR="002735DC" w:rsidRDefault="002735DC"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0270" w14:textId="019962BD"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126F8DDF" w14:textId="24C2ED0C" w:rsidR="00A51EA0" w:rsidRPr="009D0E7D" w:rsidRDefault="00A51EA0" w:rsidP="009D0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B153" w14:textId="77777777"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7BBAA5D3" w14:textId="77777777" w:rsidR="009D0E7D" w:rsidRPr="009D0E7D" w:rsidRDefault="009D0E7D" w:rsidP="009D0E7D">
    <w:pPr>
      <w:pStyle w:val="Header"/>
    </w:pPr>
  </w:p>
  <w:p w14:paraId="3F3DC412" w14:textId="77777777" w:rsidR="009D0E7D" w:rsidRDefault="009D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16BFD"/>
    <w:multiLevelType w:val="hybridMultilevel"/>
    <w:tmpl w:val="FBB032E4"/>
    <w:lvl w:ilvl="0" w:tplc="FFFFFFF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110B6F"/>
    <w:multiLevelType w:val="hybridMultilevel"/>
    <w:tmpl w:val="FB663C9C"/>
    <w:lvl w:ilvl="0" w:tplc="0809000F">
      <w:start w:val="1"/>
      <w:numFmt w:val="decimal"/>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CA2938"/>
    <w:multiLevelType w:val="hybridMultilevel"/>
    <w:tmpl w:val="2ED40568"/>
    <w:lvl w:ilvl="0" w:tplc="FFFFFFF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7C7FE0"/>
    <w:multiLevelType w:val="hybridMultilevel"/>
    <w:tmpl w:val="12B87838"/>
    <w:lvl w:ilvl="0" w:tplc="60761012">
      <w:start w:val="1"/>
      <w:numFmt w:val="decimal"/>
      <w:lvlText w:val="%1."/>
      <w:lvlJc w:val="left"/>
      <w:pPr>
        <w:ind w:left="720" w:hanging="720"/>
      </w:pPr>
      <w:rPr>
        <w:rFonts w:hint="default"/>
        <w:b w:val="0"/>
        <w:color w:val="auto"/>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E5A2E"/>
    <w:multiLevelType w:val="hybridMultilevel"/>
    <w:tmpl w:val="12B87838"/>
    <w:lvl w:ilvl="0" w:tplc="FFFFFFFF">
      <w:start w:val="1"/>
      <w:numFmt w:val="decimal"/>
      <w:lvlText w:val="%1."/>
      <w:lvlJc w:val="left"/>
      <w:pPr>
        <w:ind w:left="720" w:hanging="720"/>
      </w:pPr>
      <w:rPr>
        <w:rFonts w:hint="default"/>
        <w:b w:val="0"/>
        <w:color w:val="auto"/>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1"/>
  </w:num>
  <w:num w:numId="3" w16cid:durableId="57092759">
    <w:abstractNumId w:val="8"/>
  </w:num>
  <w:num w:numId="4" w16cid:durableId="1873767223">
    <w:abstractNumId w:val="9"/>
  </w:num>
  <w:num w:numId="5" w16cid:durableId="556205713">
    <w:abstractNumId w:val="7"/>
  </w:num>
  <w:num w:numId="6" w16cid:durableId="1663122647">
    <w:abstractNumId w:val="14"/>
  </w:num>
  <w:num w:numId="7" w16cid:durableId="897401327">
    <w:abstractNumId w:val="13"/>
  </w:num>
  <w:num w:numId="8" w16cid:durableId="1452935607">
    <w:abstractNumId w:val="18"/>
  </w:num>
  <w:num w:numId="9" w16cid:durableId="1755974403">
    <w:abstractNumId w:val="17"/>
  </w:num>
  <w:num w:numId="10" w16cid:durableId="488061633">
    <w:abstractNumId w:val="2"/>
  </w:num>
  <w:num w:numId="11" w16cid:durableId="1058363700">
    <w:abstractNumId w:val="1"/>
  </w:num>
  <w:num w:numId="12" w16cid:durableId="1611931616">
    <w:abstractNumId w:val="12"/>
  </w:num>
  <w:num w:numId="13" w16cid:durableId="1100025526">
    <w:abstractNumId w:val="0"/>
  </w:num>
  <w:num w:numId="14" w16cid:durableId="1304849214">
    <w:abstractNumId w:val="15"/>
  </w:num>
  <w:num w:numId="15" w16cid:durableId="49577015">
    <w:abstractNumId w:val="4"/>
  </w:num>
  <w:num w:numId="16" w16cid:durableId="660156361">
    <w:abstractNumId w:val="19"/>
  </w:num>
  <w:num w:numId="17" w16cid:durableId="324283481">
    <w:abstractNumId w:val="3"/>
  </w:num>
  <w:num w:numId="18" w16cid:durableId="291325499">
    <w:abstractNumId w:val="6"/>
  </w:num>
  <w:num w:numId="19" w16cid:durableId="1457797466">
    <w:abstractNumId w:val="5"/>
  </w:num>
  <w:num w:numId="20" w16cid:durableId="914825002">
    <w:abstractNumId w:val="10"/>
  </w:num>
  <w:num w:numId="21" w16cid:durableId="256983293">
    <w:abstractNumId w:val="16"/>
  </w:num>
  <w:num w:numId="22" w16cid:durableId="16374488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5392B"/>
    <w:rsid w:val="00054154"/>
    <w:rsid w:val="00075522"/>
    <w:rsid w:val="00077ACB"/>
    <w:rsid w:val="000A0E68"/>
    <w:rsid w:val="000B2B5F"/>
    <w:rsid w:val="000C4CFD"/>
    <w:rsid w:val="000D0423"/>
    <w:rsid w:val="000E3485"/>
    <w:rsid w:val="000F1EE1"/>
    <w:rsid w:val="0010056B"/>
    <w:rsid w:val="00112EDE"/>
    <w:rsid w:val="0012554A"/>
    <w:rsid w:val="00126EA4"/>
    <w:rsid w:val="0016433C"/>
    <w:rsid w:val="001A1F37"/>
    <w:rsid w:val="001A4A43"/>
    <w:rsid w:val="001A6665"/>
    <w:rsid w:val="001D7AD0"/>
    <w:rsid w:val="001E12B3"/>
    <w:rsid w:val="001E6384"/>
    <w:rsid w:val="001F362B"/>
    <w:rsid w:val="00214C08"/>
    <w:rsid w:val="0022282B"/>
    <w:rsid w:val="00224FA2"/>
    <w:rsid w:val="00232CE2"/>
    <w:rsid w:val="002460E0"/>
    <w:rsid w:val="00250376"/>
    <w:rsid w:val="00270FA4"/>
    <w:rsid w:val="00271190"/>
    <w:rsid w:val="002735DC"/>
    <w:rsid w:val="002743D0"/>
    <w:rsid w:val="002C14EB"/>
    <w:rsid w:val="002D1105"/>
    <w:rsid w:val="00310610"/>
    <w:rsid w:val="003470F1"/>
    <w:rsid w:val="0035199A"/>
    <w:rsid w:val="003901D6"/>
    <w:rsid w:val="003A4696"/>
    <w:rsid w:val="003D380B"/>
    <w:rsid w:val="003E09C0"/>
    <w:rsid w:val="003F7997"/>
    <w:rsid w:val="00412B71"/>
    <w:rsid w:val="00426406"/>
    <w:rsid w:val="00441F93"/>
    <w:rsid w:val="00477AE7"/>
    <w:rsid w:val="00487632"/>
    <w:rsid w:val="004A273F"/>
    <w:rsid w:val="004A2764"/>
    <w:rsid w:val="004B4748"/>
    <w:rsid w:val="004C3407"/>
    <w:rsid w:val="004C45E6"/>
    <w:rsid w:val="004C76DD"/>
    <w:rsid w:val="004D6C60"/>
    <w:rsid w:val="004E096E"/>
    <w:rsid w:val="004E7525"/>
    <w:rsid w:val="004F44B4"/>
    <w:rsid w:val="005014CA"/>
    <w:rsid w:val="00503BEF"/>
    <w:rsid w:val="005248C0"/>
    <w:rsid w:val="0053448E"/>
    <w:rsid w:val="0054444A"/>
    <w:rsid w:val="005469D6"/>
    <w:rsid w:val="0055423C"/>
    <w:rsid w:val="00562CEB"/>
    <w:rsid w:val="00567420"/>
    <w:rsid w:val="005747EA"/>
    <w:rsid w:val="005A6418"/>
    <w:rsid w:val="005B5FA9"/>
    <w:rsid w:val="00632242"/>
    <w:rsid w:val="00635739"/>
    <w:rsid w:val="0064275E"/>
    <w:rsid w:val="0067543C"/>
    <w:rsid w:val="006762FB"/>
    <w:rsid w:val="00682D51"/>
    <w:rsid w:val="00690C13"/>
    <w:rsid w:val="00694355"/>
    <w:rsid w:val="006A4F0B"/>
    <w:rsid w:val="006B350B"/>
    <w:rsid w:val="006C1EF7"/>
    <w:rsid w:val="006D11BF"/>
    <w:rsid w:val="006D2BC4"/>
    <w:rsid w:val="00726A1F"/>
    <w:rsid w:val="00762905"/>
    <w:rsid w:val="00763A60"/>
    <w:rsid w:val="00773259"/>
    <w:rsid w:val="007744DA"/>
    <w:rsid w:val="00793757"/>
    <w:rsid w:val="0079489C"/>
    <w:rsid w:val="007A06C2"/>
    <w:rsid w:val="007B7289"/>
    <w:rsid w:val="007D38B4"/>
    <w:rsid w:val="007D5A69"/>
    <w:rsid w:val="007E4EE3"/>
    <w:rsid w:val="007F0C9A"/>
    <w:rsid w:val="00800C51"/>
    <w:rsid w:val="00802934"/>
    <w:rsid w:val="00836488"/>
    <w:rsid w:val="00861DDB"/>
    <w:rsid w:val="00867655"/>
    <w:rsid w:val="00880DCA"/>
    <w:rsid w:val="00895C2B"/>
    <w:rsid w:val="008A6E44"/>
    <w:rsid w:val="008A71AC"/>
    <w:rsid w:val="008D5636"/>
    <w:rsid w:val="00944F3A"/>
    <w:rsid w:val="009532E1"/>
    <w:rsid w:val="00960A5A"/>
    <w:rsid w:val="009637FA"/>
    <w:rsid w:val="00986702"/>
    <w:rsid w:val="00997204"/>
    <w:rsid w:val="009B3DA8"/>
    <w:rsid w:val="009C103C"/>
    <w:rsid w:val="009C242B"/>
    <w:rsid w:val="009D0E7D"/>
    <w:rsid w:val="009D3599"/>
    <w:rsid w:val="00A03506"/>
    <w:rsid w:val="00A26F40"/>
    <w:rsid w:val="00A35158"/>
    <w:rsid w:val="00A35556"/>
    <w:rsid w:val="00A51EA0"/>
    <w:rsid w:val="00A52F1B"/>
    <w:rsid w:val="00A94D7C"/>
    <w:rsid w:val="00AB413D"/>
    <w:rsid w:val="00AB5BB3"/>
    <w:rsid w:val="00AC4D03"/>
    <w:rsid w:val="00AC7F34"/>
    <w:rsid w:val="00AF19EB"/>
    <w:rsid w:val="00B14C0C"/>
    <w:rsid w:val="00B15671"/>
    <w:rsid w:val="00B2439D"/>
    <w:rsid w:val="00B33BC3"/>
    <w:rsid w:val="00B42B2D"/>
    <w:rsid w:val="00B45868"/>
    <w:rsid w:val="00B52706"/>
    <w:rsid w:val="00B5356C"/>
    <w:rsid w:val="00B575F6"/>
    <w:rsid w:val="00B602B5"/>
    <w:rsid w:val="00B73392"/>
    <w:rsid w:val="00B85E74"/>
    <w:rsid w:val="00B91409"/>
    <w:rsid w:val="00B92F33"/>
    <w:rsid w:val="00B97D67"/>
    <w:rsid w:val="00BA0F95"/>
    <w:rsid w:val="00BA135E"/>
    <w:rsid w:val="00BD18DF"/>
    <w:rsid w:val="00BD61FF"/>
    <w:rsid w:val="00BF3C31"/>
    <w:rsid w:val="00BF6D93"/>
    <w:rsid w:val="00BF799F"/>
    <w:rsid w:val="00C003C4"/>
    <w:rsid w:val="00C015CA"/>
    <w:rsid w:val="00C04D1F"/>
    <w:rsid w:val="00C1132B"/>
    <w:rsid w:val="00C1535D"/>
    <w:rsid w:val="00C21426"/>
    <w:rsid w:val="00C2493F"/>
    <w:rsid w:val="00C2669F"/>
    <w:rsid w:val="00C4574C"/>
    <w:rsid w:val="00C5552D"/>
    <w:rsid w:val="00C57402"/>
    <w:rsid w:val="00C65D27"/>
    <w:rsid w:val="00C663C8"/>
    <w:rsid w:val="00C707F6"/>
    <w:rsid w:val="00C828A6"/>
    <w:rsid w:val="00C85640"/>
    <w:rsid w:val="00C90ADF"/>
    <w:rsid w:val="00C92D8A"/>
    <w:rsid w:val="00CA03AA"/>
    <w:rsid w:val="00CB2067"/>
    <w:rsid w:val="00CD0A69"/>
    <w:rsid w:val="00CD42CB"/>
    <w:rsid w:val="00CF7241"/>
    <w:rsid w:val="00D127BD"/>
    <w:rsid w:val="00D13D1C"/>
    <w:rsid w:val="00D13D5A"/>
    <w:rsid w:val="00D21189"/>
    <w:rsid w:val="00D63E92"/>
    <w:rsid w:val="00D66BDC"/>
    <w:rsid w:val="00D764A7"/>
    <w:rsid w:val="00D77D76"/>
    <w:rsid w:val="00D856FA"/>
    <w:rsid w:val="00D91ABE"/>
    <w:rsid w:val="00D97D49"/>
    <w:rsid w:val="00DA70C6"/>
    <w:rsid w:val="00DC13B1"/>
    <w:rsid w:val="00DE1E62"/>
    <w:rsid w:val="00DF7D79"/>
    <w:rsid w:val="00E115F6"/>
    <w:rsid w:val="00E21779"/>
    <w:rsid w:val="00E238F2"/>
    <w:rsid w:val="00E24000"/>
    <w:rsid w:val="00E27CD0"/>
    <w:rsid w:val="00E3428B"/>
    <w:rsid w:val="00E35D79"/>
    <w:rsid w:val="00E646C3"/>
    <w:rsid w:val="00E6796E"/>
    <w:rsid w:val="00E73C06"/>
    <w:rsid w:val="00E8403F"/>
    <w:rsid w:val="00E91D43"/>
    <w:rsid w:val="00E92630"/>
    <w:rsid w:val="00E96570"/>
    <w:rsid w:val="00EB1BB0"/>
    <w:rsid w:val="00EC0361"/>
    <w:rsid w:val="00EC0AE1"/>
    <w:rsid w:val="00EC1C0E"/>
    <w:rsid w:val="00EE0C19"/>
    <w:rsid w:val="00EE40DC"/>
    <w:rsid w:val="00EF09AC"/>
    <w:rsid w:val="00EF7DCB"/>
    <w:rsid w:val="00F04A9E"/>
    <w:rsid w:val="00F30978"/>
    <w:rsid w:val="00F422A8"/>
    <w:rsid w:val="00F823BA"/>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555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556"/>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Title">
    <w:name w:val="Title"/>
    <w:basedOn w:val="Normal"/>
    <w:next w:val="Normal"/>
    <w:link w:val="TitleChar"/>
    <w:uiPriority w:val="10"/>
    <w:qFormat/>
    <w:rsid w:val="000C4CFD"/>
    <w:pPr>
      <w:keepNext/>
      <w:keepLines/>
      <w:spacing w:before="480" w:after="120"/>
    </w:pPr>
    <w:rPr>
      <w:rFonts w:eastAsia="Times New Roman"/>
      <w:b/>
      <w:sz w:val="72"/>
      <w:szCs w:val="72"/>
      <w:lang w:eastAsia="en-GB"/>
    </w:rPr>
  </w:style>
  <w:style w:type="character" w:customStyle="1" w:styleId="TitleChar">
    <w:name w:val="Title Char"/>
    <w:basedOn w:val="DefaultParagraphFont"/>
    <w:link w:val="Title"/>
    <w:uiPriority w:val="10"/>
    <w:rsid w:val="000C4CFD"/>
    <w:rPr>
      <w:rFonts w:eastAsia="Times New Roman"/>
      <w:b/>
      <w:sz w:val="72"/>
      <w:szCs w:val="72"/>
      <w:lang w:eastAsia="en-GB"/>
    </w:rPr>
  </w:style>
  <w:style w:type="character" w:styleId="CommentReference">
    <w:name w:val="annotation reference"/>
    <w:basedOn w:val="DefaultParagraphFont"/>
    <w:uiPriority w:val="99"/>
    <w:semiHidden/>
    <w:unhideWhenUsed/>
    <w:rsid w:val="009D0E7D"/>
    <w:rPr>
      <w:sz w:val="16"/>
      <w:szCs w:val="16"/>
    </w:rPr>
  </w:style>
  <w:style w:type="paragraph" w:styleId="CommentText">
    <w:name w:val="annotation text"/>
    <w:basedOn w:val="Normal"/>
    <w:link w:val="CommentTextChar"/>
    <w:uiPriority w:val="99"/>
    <w:unhideWhenUsed/>
    <w:rsid w:val="009D0E7D"/>
    <w:rPr>
      <w:sz w:val="20"/>
      <w:szCs w:val="20"/>
    </w:rPr>
  </w:style>
  <w:style w:type="character" w:customStyle="1" w:styleId="CommentTextChar">
    <w:name w:val="Comment Text Char"/>
    <w:basedOn w:val="DefaultParagraphFont"/>
    <w:link w:val="CommentText"/>
    <w:uiPriority w:val="99"/>
    <w:rsid w:val="009D0E7D"/>
    <w:rPr>
      <w:sz w:val="20"/>
      <w:szCs w:val="20"/>
    </w:rPr>
  </w:style>
  <w:style w:type="paragraph" w:styleId="CommentSubject">
    <w:name w:val="annotation subject"/>
    <w:basedOn w:val="CommentText"/>
    <w:next w:val="CommentText"/>
    <w:link w:val="CommentSubjectChar"/>
    <w:uiPriority w:val="99"/>
    <w:semiHidden/>
    <w:unhideWhenUsed/>
    <w:rsid w:val="009D0E7D"/>
    <w:rPr>
      <w:b/>
      <w:bCs/>
    </w:rPr>
  </w:style>
  <w:style w:type="character" w:customStyle="1" w:styleId="CommentSubjectChar">
    <w:name w:val="Comment Subject Char"/>
    <w:basedOn w:val="CommentTextChar"/>
    <w:link w:val="CommentSubject"/>
    <w:uiPriority w:val="99"/>
    <w:semiHidden/>
    <w:rsid w:val="009D0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11</cp:revision>
  <cp:lastPrinted>2022-11-21T14:04:00Z</cp:lastPrinted>
  <dcterms:created xsi:type="dcterms:W3CDTF">2022-11-21T14:04:00Z</dcterms:created>
  <dcterms:modified xsi:type="dcterms:W3CDTF">2023-05-12T12:16:00Z</dcterms:modified>
</cp:coreProperties>
</file>